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Pe</w:t>
      </w:r>
      <w:bookmarkStart w:id="0" w:name="__UnoMark__460_1602210878"/>
      <w:bookmarkEnd w:id="0"/>
      <w:r>
        <w:rPr>
          <w:rFonts w:cs="Times New Roman" w:ascii="Times New Roman" w:hAnsi="Times New Roman"/>
          <w:b/>
          <w:sz w:val="32"/>
          <w:szCs w:val="32"/>
        </w:rPr>
        <w:t>q</w:t>
      </w:r>
      <w:bookmarkStart w:id="1" w:name="__UnoMark__461_1602210878"/>
      <w:bookmarkEnd w:id="1"/>
      <w:r>
        <w:rPr>
          <w:rFonts w:cs="Times New Roman" w:ascii="Times New Roman" w:hAnsi="Times New Roman"/>
          <w:b/>
          <w:sz w:val="32"/>
          <w:szCs w:val="32"/>
        </w:rPr>
        <w:t>u</w:t>
      </w:r>
      <w:bookmarkStart w:id="2" w:name="__UnoMark__462_1602210878"/>
      <w:bookmarkEnd w:id="2"/>
      <w:r>
        <w:rPr>
          <w:rFonts w:cs="Times New Roman" w:ascii="Times New Roman" w:hAnsi="Times New Roman"/>
          <w:b/>
          <w:sz w:val="32"/>
          <w:szCs w:val="32"/>
        </w:rPr>
        <w:t>e</w:t>
      </w:r>
      <w:bookmarkStart w:id="3" w:name="__UnoMark__463_1602210878"/>
      <w:bookmarkEnd w:id="3"/>
      <w:r>
        <w:rPr>
          <w:rFonts w:cs="Times New Roman" w:ascii="Times New Roman" w:hAnsi="Times New Roman"/>
          <w:b/>
          <w:sz w:val="32"/>
          <w:szCs w:val="32"/>
        </w:rPr>
        <w:t>n</w:t>
      </w:r>
      <w:bookmarkStart w:id="4" w:name="__UnoMark__464_1602210878"/>
      <w:bookmarkEnd w:id="4"/>
      <w:r>
        <w:rPr>
          <w:rFonts w:cs="Times New Roman" w:ascii="Times New Roman" w:hAnsi="Times New Roman"/>
          <w:b/>
          <w:sz w:val="32"/>
          <w:szCs w:val="32"/>
        </w:rPr>
        <w:t>o</w:t>
      </w:r>
      <w:bookmarkStart w:id="5" w:name="__UnoMark__465_1602210878"/>
      <w:bookmarkEnd w:id="5"/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bookmarkStart w:id="6" w:name="__UnoMark__466_1602210878"/>
      <w:bookmarkEnd w:id="6"/>
      <w:r>
        <w:rPr>
          <w:rFonts w:cs="Times New Roman" w:ascii="Times New Roman" w:hAnsi="Times New Roman"/>
          <w:b/>
          <w:sz w:val="32"/>
          <w:szCs w:val="32"/>
        </w:rPr>
        <w:t>a</w:t>
      </w:r>
      <w:bookmarkStart w:id="7" w:name="__UnoMark__467_1602210878"/>
      <w:bookmarkEnd w:id="7"/>
      <w:r>
        <w:rPr>
          <w:rFonts w:cs="Times New Roman" w:ascii="Times New Roman" w:hAnsi="Times New Roman"/>
          <w:b/>
          <w:sz w:val="32"/>
          <w:szCs w:val="32"/>
        </w:rPr>
        <w:t>l</w:t>
      </w:r>
      <w:bookmarkStart w:id="8" w:name="__UnoMark__468_1602210878"/>
      <w:bookmarkEnd w:id="8"/>
      <w:r>
        <w:rPr>
          <w:rFonts w:cs="Times New Roman" w:ascii="Times New Roman" w:hAnsi="Times New Roman"/>
          <w:b/>
          <w:sz w:val="32"/>
          <w:szCs w:val="32"/>
        </w:rPr>
        <w:t>m</w:t>
      </w:r>
      <w:bookmarkStart w:id="9" w:name="__UnoMark__469_1602210878"/>
      <w:bookmarkEnd w:id="9"/>
      <w:r>
        <w:rPr>
          <w:rFonts w:cs="Times New Roman" w:ascii="Times New Roman" w:hAnsi="Times New Roman"/>
          <w:b/>
          <w:sz w:val="32"/>
          <w:szCs w:val="32"/>
        </w:rPr>
        <w:t>o</w:t>
      </w:r>
      <w:bookmarkStart w:id="10" w:name="__UnoMark__470_1602210878"/>
      <w:bookmarkEnd w:id="10"/>
      <w:r>
        <w:rPr>
          <w:rFonts w:cs="Times New Roman" w:ascii="Times New Roman" w:hAnsi="Times New Roman"/>
          <w:b/>
          <w:sz w:val="32"/>
          <w:szCs w:val="32"/>
        </w:rPr>
        <w:t>ç</w:t>
      </w:r>
      <w:bookmarkStart w:id="11" w:name="__UnoMark__471_1602210878"/>
      <w:bookmarkEnd w:id="11"/>
      <w:r>
        <w:rPr>
          <w:rFonts w:cs="Times New Roman" w:ascii="Times New Roman" w:hAnsi="Times New Roman"/>
          <w:b/>
          <w:sz w:val="32"/>
          <w:szCs w:val="32"/>
        </w:rPr>
        <w:t>o</w:t>
      </w:r>
      <w:bookmarkStart w:id="12" w:name="__UnoMark__472_1602210878"/>
      <w:bookmarkEnd w:id="12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12.1- Pequeno-almoço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12.2-Tipos de P.A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12.3-Mise-en-place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12.4-Composição das refeições principais: almoço e jantar.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12.5-Mise-en-place para diferentes iguarias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O Pequeno-almoço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 serviço de pequeno-almoço é normalmente feito numa sala própria, por vezes o restaurante efetua este serviço, dependentemente da categoria do hotel. Muitos hóspedes optam pelo serviço do mesmo no quarto, apesar da taxa extra cobrada.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176395" cy="313880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Pequeno-almoço Continental: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Um sumo de fruta, natural ou fruta da época;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Café (ou café solúvel, com ou sem cafeína) ou Chá ou Chocolate conforme escolha do hóspede;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Leite em quantidade suficiente para duas chávenas;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Duas variedades de pão (natural e torrado);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Um brioche e um croissant ou duas variedades de qualquer destes tipos;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Duas variedades de doce;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Mel;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Duas embalagens de manteiga;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Três embalagens de açúcar (ou açúcar em quantidade equivalente).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Inglês (Acrescenta ao Continental):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Default"/>
        <w:spacing w:before="0" w:after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Flocos de Cereais; </w:t>
      </w:r>
    </w:p>
    <w:p>
      <w:pPr>
        <w:pStyle w:val="Default"/>
        <w:spacing w:before="0" w:after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Panquecas; </w:t>
      </w:r>
    </w:p>
    <w:p>
      <w:pPr>
        <w:pStyle w:val="Default"/>
        <w:spacing w:before="0" w:after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Crepes; </w:t>
      </w:r>
    </w:p>
    <w:p>
      <w:pPr>
        <w:pStyle w:val="Default"/>
        <w:spacing w:before="0" w:after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Ovos (mexidos, cozidos, estrelados,…); </w:t>
      </w:r>
    </w:p>
    <w:p>
      <w:pPr>
        <w:pStyle w:val="Default"/>
        <w:spacing w:before="0" w:after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Salsichas; </w:t>
      </w:r>
    </w:p>
    <w:p>
      <w:pPr>
        <w:pStyle w:val="Default"/>
        <w:spacing w:before="0" w:after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Bacon; </w:t>
      </w:r>
    </w:p>
    <w:p>
      <w:pPr>
        <w:pStyle w:val="Default"/>
        <w:spacing w:before="0" w:after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Feijão;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…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Os pequenos-almoços diferem conforme o País.</w:t>
      </w:r>
    </w:p>
    <w:p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Pequeno-Almoço em Room-Service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 pequeno-almoço pode ser servido no quarto do hotel, assim seja solicitado pelo hóspede, pode ser transportado em bandeja ou carros de serviço. Para facilitar o serviço as quantidades são pré definidas para uma ou duas pessoas, que são inicialmente preparadas antes de efetuar o serviço, numa zona destinada ao mesmo, geralmente denominada por preparação de room-service (que pode servir para os PA´s ou outras refeições principais ou ligeiras).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Bem cedo ou na véspera a indicação, do número de pequenos-almoços a servir no quarto, deverá chegar ao responsável por este serviço, para se conseguir efetuar um mapa de tarefas de trabalho atualizado diariamente. </w:t>
      </w:r>
    </w:p>
    <w:p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Apresentação</w:t>
      </w:r>
      <w:r>
        <w:rPr>
          <w:rFonts w:cs="Times New Roman" w:ascii="Times New Roman" w:hAnsi="Times New Roman"/>
          <w:bCs/>
          <w:sz w:val="28"/>
          <w:szCs w:val="28"/>
        </w:rPr>
        <w:t xml:space="preserve">: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Independentemente do serviço ser efetuado em bandeja ou em carro de serviço, deverá respeitar a mesma apresentação standard na mise-en-place.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Que passa por: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Garfo de Sobremesa;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Faca de Sobremesa;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Colher de Sobremesa;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Prato Sobremesa;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Copo de Sumo/Água (Tumbler Pequeno);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Guardanapo de Pano;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Pires e Chávena de Chá; </w:t>
      </w:r>
    </w:p>
    <w:p>
      <w:pPr>
        <w:pStyle w:val="Default"/>
        <w:spacing w:before="0"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Açucareiro;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Saleiro e Pimenteiro.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Composição: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Os pequenos-almoços servidos no quarto devem conter na sua composição: </w:t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Chá, Café ou Chocolate; </w:t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Prato de Sobremesa com 3 tipos de fruta da época; </w:t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Prato de Sobremesa com 2 fatias de queijo, 2 fatias de fiambre; </w:t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Copo de Sumo de Laranja; </w:t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Cesto de Pão com 3 tipos de pão, torradas e brioches; </w:t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Geleias e Doces; </w:t>
      </w:r>
    </w:p>
    <w:p>
      <w:pPr>
        <w:pStyle w:val="Default"/>
        <w:spacing w:before="0" w:after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Bule para café e chá;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Extras (Pedidos dos clientes, ovos, bacon, feijão, espumante, etc…). </w:t>
      </w:r>
    </w:p>
    <w:tbl>
      <w:tblPr>
        <w:tblW w:w="821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054"/>
        <w:gridCol w:w="684"/>
        <w:gridCol w:w="1371"/>
        <w:gridCol w:w="1368"/>
        <w:gridCol w:w="686"/>
        <w:gridCol w:w="2053"/>
      </w:tblGrid>
      <w:tr>
        <w:trPr>
          <w:trHeight w:val="131" w:hRule="atLeast"/>
        </w:trPr>
        <w:tc>
          <w:tcPr>
            <w:tcW w:w="2738" w:type="dxa"/>
            <w:gridSpan w:val="2"/>
            <w:tcBorders/>
            <w:shd w:fill="auto" w:val="clear"/>
          </w:tcPr>
          <w:p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1 Pessoa </w:t>
            </w:r>
          </w:p>
        </w:tc>
        <w:tc>
          <w:tcPr>
            <w:tcW w:w="2739" w:type="dxa"/>
            <w:gridSpan w:val="2"/>
            <w:tcBorders/>
            <w:shd w:fill="auto" w:val="clear"/>
          </w:tcPr>
          <w:p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2 Pessoas                                    </w:t>
            </w:r>
          </w:p>
        </w:tc>
        <w:tc>
          <w:tcPr>
            <w:tcW w:w="2739" w:type="dxa"/>
            <w:gridSpan w:val="2"/>
            <w:tcBorders/>
            <w:shd w:fill="auto" w:val="clear"/>
          </w:tcPr>
          <w:p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3 Pessoas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Geleia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Manteiga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 Uni.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Queijo-Creme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Mel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Pão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Croissant ou Brioche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Pão Integral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</w:tr>
      <w:tr>
        <w:trPr>
          <w:trHeight w:val="113" w:hRule="atLeast"/>
        </w:trPr>
        <w:tc>
          <w:tcPr>
            <w:tcW w:w="2054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Torradas </w:t>
            </w:r>
          </w:p>
        </w:tc>
        <w:tc>
          <w:tcPr>
            <w:tcW w:w="2055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 Uni. </w:t>
            </w:r>
          </w:p>
        </w:tc>
        <w:tc>
          <w:tcPr>
            <w:tcW w:w="2054" w:type="dxa"/>
            <w:gridSpan w:val="2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Uni. </w:t>
            </w:r>
          </w:p>
        </w:tc>
        <w:tc>
          <w:tcPr>
            <w:tcW w:w="2053" w:type="dxa"/>
            <w:tcBorders/>
            <w:shd w:fill="auto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Uni.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Refeições Principais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Refeição é uma porção de alimentos consumida de uma vez a fim de garantir o sustento de um ser humano por uma grande quantidade horas.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Embora cada nutricionista tenha sua opinião sobre o assunto, em geral, aconselham a realização de, pelo menos, três refeições diárias: o pequeno-almoço (desjejum), almoço e jantar, podendo ou não ser completadas com lanches nos intervalos entre cada uma (não se devendo passar mais de 3 horas e meia sem se comer). </w:t>
      </w:r>
    </w:p>
    <w:p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Refeições Diárias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Pequeno-almoço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 pequeno-almoço é a primeira refeição do dia, consumida geralmente pela manhã.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Brunch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Brunch é uma refeição de origem Britânica que combina o pequeno-almoço com o almoço. É normalmente realizada aos domingos, feriados ou datas comemorativas, quando toda a família se reúne entre 10 e as 14 horas em torno da mesa.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Em Portugal, esta é uma opção de refeição para quem acorda mais tarde e é feita normalmente fora de casa, em estabelecimentos preparados para a situação ou evento.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Almoço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 almoço</w:t>
      </w:r>
      <w:r>
        <w:rPr>
          <w:rFonts w:cs="Times New Roman" w:ascii="Times New Roman" w:hAnsi="Times New Roman"/>
          <w:sz w:val="28"/>
          <w:szCs w:val="28"/>
        </w:rPr>
        <w:t xml:space="preserve">, é a refeição que tradicionalmente ocorre por volta do meio-dia (entre o fim da manhã e o início da tarde). O almoço é uma das três refeições principais do dia, é composto geralmente por uma entrada, como a sopa ou algum tipo de salada, um prato principal, e por fim a sobremesa e/ou café.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Lanche </w:t>
      </w:r>
      <w:bookmarkStart w:id="13" w:name="_GoBack"/>
      <w:bookmarkEnd w:id="13"/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Na cultura ocidental, o lanche é uma refeição composta por pequena porção de alimentos, comidos no período da tarde - entre o almoço e o jantar. Também pode ser chamado de merenda. O lanche serve para saciar temporariamente a fome, oferece uma pequena quantidade de energia ou mesmo apenas para satisfazer o paladar. Dentre os principais alimentos dessas refeições, podem-se destacar os bolos, sanduíches, fruta, chás e cafés.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Jantar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 jantar é uma refeição da noite - normalmente a última do dia.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Em países de língua inglesa como a Grã-Bretanha, o Canadá, e os Estados Unidos, a refeição da noite em geral é servida no começo da noite, algo em torno das seis e nove da noite. No entanto varia nas culturas europeias. Em Espanha, o jantar pode ser servido pelas dez ou onze da noite. </w:t>
      </w:r>
    </w:p>
    <w:p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Ceia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Refeição geralmente tomada depois do jantar quando este é tomado muito cedo. Última refeição do dia para quem se deita mais tarde.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before="0" w:after="200"/>
        <w:ind w:left="360" w:hanging="0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701" w:right="1701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mbria" w:hAnsi="Cambria" w:eastAsia="" w:cs="" w:asciiTheme="majorHAnsi" w:cstheme="majorBidi" w:eastAsiaTheme="majorEastAsia" w:hAnsiTheme="majorHAnsi"/>
        <w:lang w:val="pt-BR"/>
      </w:rPr>
    </w:pPr>
    <w:r>
      <w:rPr>
        <w:rFonts w:eastAsia="" w:cs="" w:cstheme="majorBidi" w:eastAsiaTheme="majorEastAsia" w:ascii="Cambria" w:hAnsi="Cambria"/>
        <w:lang w:val="pt-BR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align>center</wp:align>
              </wp:positionV>
              <wp:extent cx="461645" cy="35941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645" cy="359410"/>
                      </a:xfrm>
                      <a:prstGeom prst="rect"/>
                      <a:solidFill>
                        <a:srgbClr val="365F91"/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  <w:id w:val="1341046496"/>
                          </w:sdtPr>
                          <w:sdtContent>
                            <w:p>
                              <w:pPr>
                                <w:pStyle w:val="Rodap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</w:rPr>
                                <w:instrText> PAGE </w:instrText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</w:rPr>
                                <w:t>6</w:t>
                              </w:r>
                              <w:r>
                                <w:rPr>
                                  <w:sz w:val="32"/>
                                  <w:b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365F91" stroked="f" strokeweight="0pt" style="position:absolute;rotation:0;width:36.35pt;height:28.3pt;mso-wrap-distance-left:9pt;mso-wrap-distance-right:9pt;mso-wrap-distance-top:0pt;mso-wrap-distance-bottom:0pt;margin-top:-7.7pt;mso-position-vertical:center;mso-position-vertical-relative:text;margin-left:194.45pt;mso-position-horizontal:center;mso-position-horizontal-relative:text">
              <v:textbox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1111818187"/>
                    </w:sdtPr>
                    <w:sdtContent>
                      <w:p>
                        <w:pPr>
                          <w:pStyle w:val="Rodap"/>
                          <w:jc w:val="center"/>
                          <w:rPr/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sz w:val="32"/>
                            <w:b/>
                            <w:szCs w:val="32"/>
                          </w:rPr>
                          <w:instrText> PAGE </w:instrText>
                        </w:r>
                        <w:r>
                          <w:rPr>
                            <w:sz w:val="32"/>
                            <w:b/>
                            <w:szCs w:val="32"/>
                          </w:rPr>
                          <w:fldChar w:fldCharType="separate"/>
                        </w:r>
                        <w:r>
                          <w:rPr>
                            <w:sz w:val="32"/>
                            <w:b/>
                            <w:szCs w:val="32"/>
                          </w:rPr>
                          <w:t>6</w:t>
                        </w:r>
                        <w:r>
                          <w:rPr>
                            <w:sz w:val="32"/>
                            <w:b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12b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link w:val="Cabealho1Carcter"/>
    <w:qFormat/>
    <w:rsid w:val="00a6217f"/>
    <w:pPr>
      <w:keepNext w:val="true"/>
      <w:spacing w:lineRule="auto" w:line="240" w:before="0" w:after="0"/>
      <w:jc w:val="center"/>
      <w:outlineLvl w:val="0"/>
    </w:pPr>
    <w:rPr>
      <w:rFonts w:ascii="Arial Narrow" w:hAnsi="Arial Narrow" w:eastAsia="Times New Roman" w:cs="Times New Roman"/>
      <w:b/>
      <w:bCs/>
      <w:sz w:val="32"/>
      <w:szCs w:val="20"/>
      <w:lang w:eastAsia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cter" w:customStyle="1">
    <w:name w:val="Cabeçalho Carácter"/>
    <w:basedOn w:val="DefaultParagraphFont"/>
    <w:link w:val="Cabealho"/>
    <w:uiPriority w:val="99"/>
    <w:semiHidden/>
    <w:qFormat/>
    <w:rsid w:val="00f87a1a"/>
    <w:rPr/>
  </w:style>
  <w:style w:type="character" w:styleId="RodapCarcter" w:customStyle="1">
    <w:name w:val="Rodapé Carácter"/>
    <w:basedOn w:val="DefaultParagraphFont"/>
    <w:link w:val="Rodap"/>
    <w:uiPriority w:val="99"/>
    <w:qFormat/>
    <w:rsid w:val="00f87a1a"/>
    <w:rPr/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f87a1a"/>
    <w:rPr>
      <w:rFonts w:ascii="Tahoma" w:hAnsi="Tahoma" w:cs="Tahoma"/>
      <w:sz w:val="16"/>
      <w:szCs w:val="16"/>
    </w:rPr>
  </w:style>
  <w:style w:type="character" w:styleId="Cabealho1Carcter" w:customStyle="1">
    <w:name w:val="Cabeçalho 1 Carácter"/>
    <w:basedOn w:val="DefaultParagraphFont"/>
    <w:link w:val="Cabealho1"/>
    <w:qFormat/>
    <w:rsid w:val="00a6217f"/>
    <w:rPr>
      <w:rFonts w:ascii="Arial Narrow" w:hAnsi="Arial Narrow" w:eastAsia="Times New Roman" w:cs="Times New Roman"/>
      <w:b/>
      <w:bCs/>
      <w:sz w:val="32"/>
      <w:szCs w:val="20"/>
      <w:lang w:eastAsia="pt-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5d6892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arcter"/>
    <w:uiPriority w:val="99"/>
    <w:semiHidden/>
    <w:unhideWhenUsed/>
    <w:rsid w:val="00f87a1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arcter"/>
    <w:uiPriority w:val="99"/>
    <w:unhideWhenUsed/>
    <w:rsid w:val="00f87a1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f87a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da599f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PT" w:eastAsia="en-US" w:bidi="ar-SA"/>
    </w:rPr>
  </w:style>
  <w:style w:type="paragraph" w:styleId="Contedodamoldura">
    <w:name w:val="Conteúdo da moldu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5D61-F612-4703-919C-0B729235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LibreOffice/6.0.5.2$Linux_X86_64 LibreOffice_project/54c8cbb85f300ac59db32fe8a675ff7683cd5a16</Application>
  <Pages>6</Pages>
  <Words>824</Words>
  <Characters>4206</Characters>
  <CharactersWithSpaces>5093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2015-01-25T12:00:00Z</dcterms:created>
  <dc:creator>ALUNO</dc:creator>
  <dc:description/>
  <dc:language>pt-PT</dc:language>
  <cp:lastModifiedBy>A B</cp:lastModifiedBy>
  <dcterms:modified xsi:type="dcterms:W3CDTF">2018-10-02T00:40:05Z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